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590" w:rsidRPr="00766F7D" w:rsidRDefault="00F61590" w:rsidP="00F61590">
      <w:pPr>
        <w:pStyle w:val="Zkladntext"/>
        <w:rPr>
          <w:iCs/>
          <w:sz w:val="22"/>
        </w:rPr>
      </w:pPr>
      <w:r w:rsidRPr="00766F7D">
        <w:rPr>
          <w:bCs/>
          <w:iCs/>
          <w:sz w:val="22"/>
        </w:rPr>
        <w:t>Subjekt:</w:t>
      </w:r>
      <w:r>
        <w:rPr>
          <w:bCs/>
          <w:iCs/>
          <w:sz w:val="22"/>
        </w:rPr>
        <w:t xml:space="preserve"> </w:t>
      </w:r>
      <w:r w:rsidRPr="00766F7D">
        <w:rPr>
          <w:bCs/>
          <w:iCs/>
          <w:sz w:val="22"/>
        </w:rPr>
        <w:t>…………………………………</w:t>
      </w:r>
      <w:r w:rsidRPr="00766F7D">
        <w:rPr>
          <w:iCs/>
          <w:sz w:val="22"/>
        </w:rPr>
        <w:t xml:space="preserve"> </w:t>
      </w:r>
    </w:p>
    <w:p w:rsidR="00F61590" w:rsidRPr="00766F7D" w:rsidRDefault="00F61590" w:rsidP="00F61590">
      <w:pPr>
        <w:pStyle w:val="Zkladntext"/>
        <w:rPr>
          <w:b w:val="0"/>
          <w:i/>
          <w:caps/>
          <w:sz w:val="22"/>
        </w:rPr>
      </w:pPr>
      <w:r w:rsidRPr="00766F7D">
        <w:rPr>
          <w:b w:val="0"/>
          <w:i/>
          <w:sz w:val="22"/>
        </w:rPr>
        <w:t>(přesný</w:t>
      </w:r>
      <w:r w:rsidRPr="00766F7D">
        <w:rPr>
          <w:b w:val="0"/>
          <w:bCs/>
          <w:i/>
          <w:sz w:val="22"/>
        </w:rPr>
        <w:t xml:space="preserve"> </w:t>
      </w:r>
      <w:r w:rsidRPr="00766F7D">
        <w:rPr>
          <w:b w:val="0"/>
          <w:i/>
          <w:sz w:val="22"/>
        </w:rPr>
        <w:t>název a adresa právního subjektu -</w:t>
      </w:r>
      <w:r w:rsidRPr="00766F7D">
        <w:rPr>
          <w:b w:val="0"/>
          <w:bCs/>
          <w:i/>
          <w:sz w:val="22"/>
        </w:rPr>
        <w:t xml:space="preserve"> </w:t>
      </w:r>
      <w:r w:rsidRPr="00766F7D">
        <w:rPr>
          <w:b w:val="0"/>
          <w:i/>
          <w:sz w:val="22"/>
        </w:rPr>
        <w:t>vypsat)</w:t>
      </w:r>
    </w:p>
    <w:p w:rsidR="00F61590" w:rsidRPr="00766F7D" w:rsidRDefault="00F61590" w:rsidP="00F61590">
      <w:pPr>
        <w:pStyle w:val="Zkladntext"/>
        <w:spacing w:before="240"/>
        <w:rPr>
          <w:b w:val="0"/>
          <w:iCs/>
          <w:caps/>
          <w:sz w:val="22"/>
        </w:rPr>
      </w:pPr>
      <w:r w:rsidRPr="00766F7D">
        <w:rPr>
          <w:b w:val="0"/>
          <w:iCs/>
          <w:sz w:val="22"/>
        </w:rPr>
        <w:t>autorizovaný Úřadem pro technickou normalizaci, metrologii a státní zkušebnictví jako</w:t>
      </w:r>
    </w:p>
    <w:p w:rsidR="00F61590" w:rsidRPr="00766F7D" w:rsidRDefault="00F61590" w:rsidP="00F61590">
      <w:pPr>
        <w:pStyle w:val="Zkladntext"/>
        <w:spacing w:before="120"/>
        <w:rPr>
          <w:b w:val="0"/>
          <w:sz w:val="22"/>
        </w:rPr>
      </w:pPr>
      <w:r w:rsidRPr="00766F7D">
        <w:rPr>
          <w:bCs/>
          <w:sz w:val="22"/>
        </w:rPr>
        <w:t xml:space="preserve">Autorizované metrologické středisko </w:t>
      </w:r>
      <w:r w:rsidRPr="00766F7D">
        <w:rPr>
          <w:b w:val="0"/>
          <w:sz w:val="22"/>
        </w:rPr>
        <w:t>pro ověřování stanovených měřidel</w:t>
      </w:r>
    </w:p>
    <w:p w:rsidR="00F61590" w:rsidRPr="00766F7D" w:rsidRDefault="00F61590" w:rsidP="00F61590">
      <w:pPr>
        <w:pStyle w:val="Zkladntext"/>
        <w:rPr>
          <w:sz w:val="22"/>
        </w:rPr>
      </w:pPr>
      <w:r>
        <w:rPr>
          <w:b w:val="0"/>
          <w:sz w:val="22"/>
        </w:rPr>
        <w:t>v </w:t>
      </w:r>
      <w:r w:rsidRPr="00766F7D">
        <w:rPr>
          <w:b w:val="0"/>
          <w:sz w:val="22"/>
        </w:rPr>
        <w:t>oboru</w:t>
      </w:r>
      <w:r>
        <w:rPr>
          <w:b w:val="0"/>
          <w:sz w:val="22"/>
        </w:rPr>
        <w:t xml:space="preserve"> </w:t>
      </w:r>
      <w:r w:rsidRPr="00766F7D">
        <w:rPr>
          <w:b w:val="0"/>
          <w:sz w:val="22"/>
        </w:rPr>
        <w:t>……………………….</w:t>
      </w:r>
      <w:r w:rsidRPr="00766F7D">
        <w:rPr>
          <w:b w:val="0"/>
          <w:bCs/>
          <w:caps/>
          <w:sz w:val="22"/>
        </w:rPr>
        <w:t xml:space="preserve"> </w:t>
      </w:r>
      <w:r w:rsidRPr="00766F7D">
        <w:rPr>
          <w:b w:val="0"/>
          <w:sz w:val="22"/>
        </w:rPr>
        <w:t>s přidělenou úřední značkou</w:t>
      </w:r>
      <w:r>
        <w:rPr>
          <w:bCs/>
          <w:sz w:val="22"/>
        </w:rPr>
        <w:t xml:space="preserve">  </w:t>
      </w:r>
      <w:r w:rsidRPr="00766F7D">
        <w:rPr>
          <w:bCs/>
          <w:caps/>
          <w:sz w:val="22"/>
        </w:rPr>
        <w:t>K</w:t>
      </w:r>
      <w:r>
        <w:rPr>
          <w:bCs/>
          <w:caps/>
          <w:sz w:val="22"/>
        </w:rPr>
        <w:t xml:space="preserve"> </w:t>
      </w:r>
      <w:r w:rsidRPr="00766F7D">
        <w:rPr>
          <w:b w:val="0"/>
          <w:bCs/>
          <w:caps/>
          <w:sz w:val="22"/>
        </w:rPr>
        <w:t>……….</w:t>
      </w:r>
      <w:r w:rsidRPr="00766F7D">
        <w:rPr>
          <w:b w:val="0"/>
          <w:sz w:val="22"/>
        </w:rPr>
        <w:t xml:space="preserve"> </w:t>
      </w:r>
    </w:p>
    <w:p w:rsidR="00F61590" w:rsidRPr="00766F7D" w:rsidRDefault="00F61590" w:rsidP="00F61590">
      <w:pPr>
        <w:pStyle w:val="Zkladntext"/>
        <w:rPr>
          <w:bCs/>
          <w:caps/>
          <w:sz w:val="36"/>
        </w:rPr>
      </w:pPr>
    </w:p>
    <w:p w:rsidR="00F61590" w:rsidRPr="00766F7D" w:rsidRDefault="00F61590" w:rsidP="00F61590">
      <w:pPr>
        <w:pStyle w:val="Zkladntext"/>
        <w:rPr>
          <w:bCs/>
          <w:iCs/>
          <w:caps/>
          <w:sz w:val="40"/>
        </w:rPr>
      </w:pPr>
      <w:r w:rsidRPr="00766F7D">
        <w:rPr>
          <w:bCs/>
          <w:iCs/>
          <w:caps/>
          <w:sz w:val="40"/>
        </w:rPr>
        <w:t>Rozhodnutí o zamítnutí</w:t>
      </w:r>
    </w:p>
    <w:p w:rsidR="00F61590" w:rsidRPr="00766F7D" w:rsidRDefault="00F61590" w:rsidP="00F61590">
      <w:pPr>
        <w:pStyle w:val="Zkladntext"/>
        <w:rPr>
          <w:iCs/>
          <w:caps/>
          <w:sz w:val="38"/>
        </w:rPr>
      </w:pPr>
      <w:r w:rsidRPr="00766F7D">
        <w:rPr>
          <w:bCs/>
          <w:iCs/>
          <w:caps/>
          <w:sz w:val="40"/>
        </w:rPr>
        <w:t>ověření stanoveného měřidla</w:t>
      </w:r>
    </w:p>
    <w:p w:rsidR="00F61590" w:rsidRPr="006C4B15" w:rsidRDefault="00F61590" w:rsidP="00F61590">
      <w:pPr>
        <w:pStyle w:val="MP-T"/>
        <w:spacing w:before="0" w:after="0"/>
        <w:rPr>
          <w:sz w:val="20"/>
          <w:szCs w:val="20"/>
        </w:rPr>
      </w:pPr>
    </w:p>
    <w:p w:rsidR="00F61590" w:rsidRPr="00766F7D" w:rsidRDefault="00F61590" w:rsidP="00F61590">
      <w:pPr>
        <w:pStyle w:val="Zkladntext"/>
        <w:rPr>
          <w:b w:val="0"/>
          <w:i/>
          <w:sz w:val="22"/>
        </w:rPr>
      </w:pPr>
      <w:r w:rsidRPr="00766F7D">
        <w:rPr>
          <w:b w:val="0"/>
          <w:i/>
          <w:sz w:val="22"/>
        </w:rPr>
        <w:t>číslo jednací:</w:t>
      </w:r>
    </w:p>
    <w:p w:rsidR="00F61590" w:rsidRDefault="00F61590" w:rsidP="00F61590">
      <w:pPr>
        <w:pStyle w:val="Zkladntext"/>
        <w:rPr>
          <w:sz w:val="22"/>
        </w:rPr>
      </w:pPr>
      <w:bookmarkStart w:id="0" w:name="_GoBack"/>
      <w:bookmarkEnd w:id="0"/>
    </w:p>
    <w:p w:rsidR="00F61590" w:rsidRPr="00766F7D" w:rsidRDefault="00F61590" w:rsidP="00F61590">
      <w:pPr>
        <w:pStyle w:val="Zkladntext"/>
        <w:tabs>
          <w:tab w:val="left" w:pos="6946"/>
        </w:tabs>
        <w:suppressAutoHyphens/>
        <w:jc w:val="both"/>
        <w:rPr>
          <w:b w:val="0"/>
          <w:iCs/>
          <w:sz w:val="22"/>
        </w:rPr>
      </w:pPr>
      <w:r w:rsidRPr="00766F7D">
        <w:rPr>
          <w:b w:val="0"/>
          <w:iCs/>
          <w:sz w:val="22"/>
        </w:rPr>
        <w:t>AMS ……………………………….. jako orgán provádějící výkon ověřování stanovených měřidel v souladu s § 9 a 16 zákona o metrologii č. 505/1990 Sb. ve znění pozdějších předpisů (dále jen „zákon“) a § 5 vyhlášky MPO č. 262/2000 Sb., v platném znění, kterou se zajišťuje jednotnost a</w:t>
      </w:r>
      <w:r>
        <w:rPr>
          <w:b w:val="0"/>
          <w:iCs/>
          <w:sz w:val="22"/>
        </w:rPr>
        <w:t> </w:t>
      </w:r>
      <w:r w:rsidRPr="00766F7D">
        <w:rPr>
          <w:b w:val="0"/>
          <w:iCs/>
          <w:sz w:val="22"/>
        </w:rPr>
        <w:t>správnost měřidel a měření, provedl na základě požadavku na ověření stanoveného měřidla zkou</w:t>
      </w:r>
      <w:r w:rsidRPr="00766F7D">
        <w:rPr>
          <w:b w:val="0"/>
          <w:iCs/>
          <w:sz w:val="22"/>
        </w:rPr>
        <w:t>š</w:t>
      </w:r>
      <w:r w:rsidRPr="00766F7D">
        <w:rPr>
          <w:b w:val="0"/>
          <w:iCs/>
          <w:sz w:val="22"/>
        </w:rPr>
        <w:t>ku měřidla k tomuto účelu.</w:t>
      </w:r>
    </w:p>
    <w:p w:rsidR="00F61590" w:rsidRDefault="00F61590" w:rsidP="00F61590">
      <w:pPr>
        <w:rPr>
          <w:sz w:val="22"/>
        </w:rPr>
      </w:pPr>
    </w:p>
    <w:p w:rsidR="00F61590" w:rsidRDefault="00F61590" w:rsidP="00F61590">
      <w:pPr>
        <w:pStyle w:val="Zkladntextodsazen2"/>
        <w:ind w:left="0"/>
        <w:rPr>
          <w:sz w:val="22"/>
        </w:rPr>
      </w:pPr>
      <w:r>
        <w:rPr>
          <w:sz w:val="22"/>
        </w:rPr>
        <w:t>AMS ……………………………….. na základě negativního výsledku provedené zkoušky a ve smy</w:t>
      </w:r>
      <w:r>
        <w:rPr>
          <w:sz w:val="22"/>
        </w:rPr>
        <w:t>s</w:t>
      </w:r>
      <w:r>
        <w:rPr>
          <w:sz w:val="22"/>
        </w:rPr>
        <w:t xml:space="preserve">lu § 24 zákona </w:t>
      </w:r>
      <w:r w:rsidRPr="002C10DA">
        <w:rPr>
          <w:sz w:val="22"/>
        </w:rPr>
        <w:t>ve správním řízení</w:t>
      </w:r>
      <w:r>
        <w:rPr>
          <w:b/>
          <w:iCs/>
          <w:sz w:val="22"/>
        </w:rPr>
        <w:t xml:space="preserve"> </w:t>
      </w:r>
      <w:r>
        <w:rPr>
          <w:sz w:val="22"/>
        </w:rPr>
        <w:t>zamítá ověření stanoveného měřidla:</w:t>
      </w:r>
    </w:p>
    <w:p w:rsidR="00F61590" w:rsidRDefault="00F61590" w:rsidP="00F61590">
      <w:pPr>
        <w:ind w:firstLine="6"/>
        <w:rPr>
          <w:sz w:val="22"/>
        </w:rPr>
      </w:pPr>
    </w:p>
    <w:p w:rsidR="00F61590" w:rsidRPr="00AB75B8" w:rsidRDefault="00F61590" w:rsidP="00F61590">
      <w:pPr>
        <w:ind w:firstLine="6"/>
        <w:rPr>
          <w:iCs/>
          <w:sz w:val="22"/>
        </w:rPr>
      </w:pPr>
      <w:r>
        <w:rPr>
          <w:iCs/>
          <w:sz w:val="22"/>
        </w:rPr>
        <w:t>Zákazník</w:t>
      </w:r>
      <w:r w:rsidRPr="00AB75B8">
        <w:rPr>
          <w:iCs/>
          <w:sz w:val="22"/>
        </w:rPr>
        <w:t>:</w:t>
      </w:r>
    </w:p>
    <w:p w:rsidR="00F61590" w:rsidRPr="00AB75B8" w:rsidRDefault="00F61590" w:rsidP="00F61590">
      <w:pPr>
        <w:spacing w:before="40"/>
        <w:ind w:firstLine="6"/>
        <w:rPr>
          <w:iCs/>
          <w:sz w:val="22"/>
        </w:rPr>
      </w:pPr>
      <w:r w:rsidRPr="00AB75B8">
        <w:rPr>
          <w:iCs/>
          <w:sz w:val="22"/>
        </w:rPr>
        <w:t>Měřidlo</w:t>
      </w:r>
      <w:r>
        <w:rPr>
          <w:iCs/>
          <w:sz w:val="22"/>
        </w:rPr>
        <w:t>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Druh: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Výrobce: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Typ:</w:t>
      </w:r>
    </w:p>
    <w:p w:rsidR="00F61590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>Výrobní číslo:</w:t>
      </w:r>
    </w:p>
    <w:p w:rsidR="00F61590" w:rsidRPr="008229EA" w:rsidRDefault="00F61590" w:rsidP="00F61590">
      <w:pPr>
        <w:spacing w:before="40"/>
        <w:ind w:left="709" w:firstLine="6"/>
        <w:rPr>
          <w:iCs/>
          <w:sz w:val="22"/>
        </w:rPr>
      </w:pPr>
      <w:r>
        <w:rPr>
          <w:iCs/>
          <w:sz w:val="22"/>
        </w:rPr>
        <w:t xml:space="preserve">Měřicí rozsah </w:t>
      </w:r>
      <w:r>
        <w:rPr>
          <w:iCs/>
          <w:sz w:val="22"/>
          <w:vertAlign w:val="superscript"/>
        </w:rPr>
        <w:t>(</w:t>
      </w:r>
      <w:r>
        <w:rPr>
          <w:rStyle w:val="Znakapoznpodarou"/>
          <w:iCs/>
          <w:sz w:val="22"/>
        </w:rPr>
        <w:footnoteReference w:customMarkFollows="1" w:id="1"/>
        <w:t>1</w:t>
      </w:r>
      <w:r>
        <w:rPr>
          <w:iCs/>
          <w:sz w:val="22"/>
          <w:vertAlign w:val="superscript"/>
        </w:rPr>
        <w:t>)</w:t>
      </w:r>
      <w:r>
        <w:rPr>
          <w:iCs/>
          <w:sz w:val="22"/>
        </w:rPr>
        <w:t>:</w:t>
      </w:r>
    </w:p>
    <w:p w:rsidR="00F61590" w:rsidRPr="00AB75B8" w:rsidRDefault="00F61590" w:rsidP="00F61590">
      <w:pPr>
        <w:spacing w:before="40"/>
        <w:ind w:left="709" w:firstLine="6"/>
        <w:rPr>
          <w:iCs/>
          <w:sz w:val="22"/>
        </w:rPr>
      </w:pPr>
      <w:r w:rsidRPr="00AB75B8">
        <w:rPr>
          <w:iCs/>
          <w:sz w:val="22"/>
        </w:rPr>
        <w:t xml:space="preserve">Umístění </w:t>
      </w:r>
      <w:r w:rsidRPr="00AB75B8">
        <w:rPr>
          <w:sz w:val="22"/>
          <w:vertAlign w:val="superscript"/>
        </w:rPr>
        <w:t>(</w:t>
      </w:r>
      <w:r>
        <w:rPr>
          <w:sz w:val="22"/>
          <w:vertAlign w:val="superscript"/>
        </w:rPr>
        <w:t>1</w:t>
      </w:r>
      <w:r w:rsidRPr="00AB75B8">
        <w:rPr>
          <w:sz w:val="22"/>
          <w:vertAlign w:val="superscript"/>
        </w:rPr>
        <w:t>)</w:t>
      </w:r>
      <w:r w:rsidRPr="00AB75B8">
        <w:rPr>
          <w:iCs/>
          <w:sz w:val="22"/>
        </w:rPr>
        <w:t>:</w:t>
      </w: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  <w:r w:rsidRPr="00AB75B8">
        <w:rPr>
          <w:sz w:val="22"/>
        </w:rPr>
        <w:t>Rozhodnutím se zamítá uvedení tohoto stanoveného měřidla do oběhu nebo jeho další používání, p</w:t>
      </w:r>
      <w:r w:rsidRPr="00AB75B8">
        <w:rPr>
          <w:sz w:val="22"/>
        </w:rPr>
        <w:t>o</w:t>
      </w:r>
      <w:r w:rsidRPr="00AB75B8">
        <w:rPr>
          <w:sz w:val="22"/>
        </w:rPr>
        <w:t>kud bylo před datem zkoušky již provozováno.</w:t>
      </w:r>
    </w:p>
    <w:p w:rsidR="00F61590" w:rsidRPr="00AB75B8" w:rsidRDefault="00F61590" w:rsidP="00F61590">
      <w:pPr>
        <w:pStyle w:val="Zkladntextodsazen3"/>
        <w:ind w:left="0"/>
        <w:rPr>
          <w:sz w:val="22"/>
        </w:rPr>
      </w:pPr>
    </w:p>
    <w:p w:rsidR="00F61590" w:rsidRDefault="00F61590" w:rsidP="00F61590">
      <w:pPr>
        <w:ind w:hanging="7"/>
        <w:rPr>
          <w:sz w:val="22"/>
        </w:rPr>
      </w:pPr>
    </w:p>
    <w:p w:rsidR="00F61590" w:rsidRDefault="00F61590" w:rsidP="00F61590">
      <w:pPr>
        <w:ind w:hanging="7"/>
        <w:rPr>
          <w:sz w:val="22"/>
        </w:rPr>
      </w:pPr>
      <w:r>
        <w:rPr>
          <w:sz w:val="22"/>
        </w:rPr>
        <w:t>Odůvodnění:</w:t>
      </w:r>
    </w:p>
    <w:p w:rsidR="00F61590" w:rsidRDefault="00F61590" w:rsidP="00F61590">
      <w:pPr>
        <w:ind w:hanging="7"/>
        <w:rPr>
          <w:sz w:val="22"/>
        </w:rPr>
      </w:pPr>
      <w:r>
        <w:rPr>
          <w:sz w:val="22"/>
        </w:rPr>
        <w:t>Měřidlo nesplňuje požadavky specifikované v ……………………………………..</w:t>
      </w:r>
    </w:p>
    <w:p w:rsidR="00F61590" w:rsidRDefault="00F61590" w:rsidP="00F61590">
      <w:pPr>
        <w:ind w:left="6" w:hanging="6"/>
        <w:rPr>
          <w:sz w:val="22"/>
        </w:rPr>
      </w:pPr>
    </w:p>
    <w:p w:rsidR="00F61590" w:rsidRDefault="00F61590" w:rsidP="00F61590">
      <w:pPr>
        <w:ind w:left="6" w:hanging="6"/>
        <w:rPr>
          <w:sz w:val="22"/>
        </w:rPr>
      </w:pPr>
    </w:p>
    <w:p w:rsidR="00F61590" w:rsidRDefault="00F61590" w:rsidP="00F61590">
      <w:pPr>
        <w:ind w:left="7" w:hanging="7"/>
        <w:rPr>
          <w:sz w:val="22"/>
        </w:rPr>
      </w:pPr>
      <w:r>
        <w:rPr>
          <w:sz w:val="22"/>
        </w:rPr>
        <w:t>Poučení:</w:t>
      </w:r>
    </w:p>
    <w:p w:rsidR="00F61590" w:rsidRPr="006D2F78" w:rsidRDefault="00F61590" w:rsidP="00F61590">
      <w:pPr>
        <w:ind w:hanging="7"/>
        <w:jc w:val="both"/>
        <w:rPr>
          <w:sz w:val="22"/>
        </w:rPr>
      </w:pPr>
      <w:r w:rsidRPr="006D2F78">
        <w:rPr>
          <w:sz w:val="22"/>
        </w:rPr>
        <w:t>Proti tomuto rozhodnutí lze podat k Úřadu pro technickou normalizaci, metrologii a státní zkušebni</w:t>
      </w:r>
      <w:r w:rsidRPr="006D2F78">
        <w:rPr>
          <w:sz w:val="22"/>
        </w:rPr>
        <w:t>c</w:t>
      </w:r>
      <w:r w:rsidRPr="006D2F78">
        <w:rPr>
          <w:sz w:val="22"/>
        </w:rPr>
        <w:t>tví odvolání do 15 dnů od jeho oznámení. Odvolání se podává prostřednictvím AMS: ……………..…………….………………..; postup řízení je upraven § 24 zákona. Odvolání nemá odkladný úč</w:t>
      </w:r>
      <w:r w:rsidRPr="006D2F78">
        <w:rPr>
          <w:sz w:val="22"/>
        </w:rPr>
        <w:t>i</w:t>
      </w:r>
      <w:r w:rsidRPr="006D2F78">
        <w:rPr>
          <w:sz w:val="22"/>
        </w:rPr>
        <w:t>nek, a to s přihlédnutím k ochraně veřejného zájmu.</w:t>
      </w: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  <w:r w:rsidRPr="006D2F78">
        <w:rPr>
          <w:sz w:val="22"/>
        </w:rPr>
        <w:t>Lhůta pro podání odvolání se počítá ode dne následujícího po doručení písemného vyhotovení rozhodn</w:t>
      </w:r>
      <w:r w:rsidRPr="006D2F78">
        <w:rPr>
          <w:sz w:val="22"/>
        </w:rPr>
        <w:t>u</w:t>
      </w:r>
      <w:r w:rsidRPr="006D2F78">
        <w:rPr>
          <w:sz w:val="22"/>
        </w:rPr>
        <w:t>tí, nejpozději však po uplynutí desátého dne ode dne, kdy bylo nedoručené a uložené rozhodnutí připr</w:t>
      </w:r>
      <w:r w:rsidRPr="006D2F78">
        <w:rPr>
          <w:sz w:val="22"/>
        </w:rPr>
        <w:t>a</w:t>
      </w:r>
      <w:r w:rsidRPr="006D2F78">
        <w:rPr>
          <w:sz w:val="22"/>
        </w:rPr>
        <w:t>veno k vyzvednutí.</w:t>
      </w: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</w:p>
    <w:p w:rsidR="00F61590" w:rsidRPr="006D2F78" w:rsidRDefault="00F61590" w:rsidP="00F61590">
      <w:pPr>
        <w:pStyle w:val="Zkladntextodsazen"/>
        <w:ind w:left="0"/>
        <w:jc w:val="both"/>
        <w:rPr>
          <w:sz w:val="22"/>
        </w:rPr>
      </w:pPr>
    </w:p>
    <w:p w:rsidR="00F61590" w:rsidRDefault="00F61590" w:rsidP="00F61590">
      <w:pPr>
        <w:pStyle w:val="Zkladntextodsazen"/>
        <w:ind w:left="0"/>
        <w:jc w:val="both"/>
        <w:rPr>
          <w:sz w:val="22"/>
        </w:rPr>
      </w:pPr>
      <w:r w:rsidRPr="006D2F78">
        <w:rPr>
          <w:sz w:val="22"/>
        </w:rPr>
        <w:lastRenderedPageBreak/>
        <w:t>Odvolání musí mít náležitosti uvedené v § 37 odst. 2 SŘ, musí být patrno, kdo je činí, proti kterému ro</w:t>
      </w:r>
      <w:r w:rsidRPr="006D2F78">
        <w:rPr>
          <w:sz w:val="22"/>
        </w:rPr>
        <w:t>z</w:t>
      </w:r>
      <w:r w:rsidRPr="006D2F78">
        <w:rPr>
          <w:sz w:val="22"/>
        </w:rPr>
        <w:t>hodnutí směřuje, v jakém rozsahu ho napadá a v čem je spatřován rozpor s právními předpisy nebo nesprávnost rozhodnutí nebo řízení, jež mu předcházelo, které věci se týká a co se navrhuje, musí obs</w:t>
      </w:r>
      <w:r w:rsidRPr="006D2F78">
        <w:rPr>
          <w:sz w:val="22"/>
        </w:rPr>
        <w:t>a</w:t>
      </w:r>
      <w:r w:rsidRPr="006D2F78">
        <w:rPr>
          <w:sz w:val="22"/>
        </w:rPr>
        <w:t>hovat označení správního orgánu, jemuž je určeno, a podpis osoby, která jej činí.</w:t>
      </w:r>
    </w:p>
    <w:p w:rsidR="00F61590" w:rsidRDefault="00F61590" w:rsidP="00F61590">
      <w:pPr>
        <w:pStyle w:val="Zkladntextodsazen"/>
        <w:rPr>
          <w:sz w:val="22"/>
        </w:rPr>
      </w:pPr>
    </w:p>
    <w:p w:rsidR="00F61590" w:rsidRDefault="00F61590" w:rsidP="00F61590">
      <w:pPr>
        <w:pStyle w:val="Zkladntextodsazen"/>
        <w:rPr>
          <w:sz w:val="22"/>
        </w:rPr>
      </w:pPr>
    </w:p>
    <w:p w:rsidR="00F61590" w:rsidRDefault="00F61590" w:rsidP="00F61590">
      <w:pPr>
        <w:pStyle w:val="Zkladntextodsazen"/>
        <w:rPr>
          <w:sz w:val="22"/>
        </w:rPr>
      </w:pPr>
    </w:p>
    <w:p w:rsidR="00F61590" w:rsidRDefault="00F61590" w:rsidP="00F61590">
      <w:pPr>
        <w:pStyle w:val="Zkladntextodsazen"/>
        <w:rPr>
          <w:sz w:val="22"/>
        </w:rPr>
      </w:pPr>
    </w:p>
    <w:p w:rsidR="00F61590" w:rsidRDefault="00F61590" w:rsidP="00F61590">
      <w:pPr>
        <w:rPr>
          <w:sz w:val="22"/>
        </w:rPr>
      </w:pPr>
    </w:p>
    <w:p w:rsidR="00F61590" w:rsidRDefault="00F61590" w:rsidP="00F61590">
      <w:pPr>
        <w:rPr>
          <w:sz w:val="22"/>
        </w:rPr>
      </w:pPr>
    </w:p>
    <w:p w:rsidR="00F61590" w:rsidRDefault="00F61590" w:rsidP="00F61590">
      <w:pPr>
        <w:rPr>
          <w:sz w:val="22"/>
        </w:rPr>
      </w:pPr>
      <w:r>
        <w:rPr>
          <w:sz w:val="22"/>
        </w:rPr>
        <w:t>V......................... dne...............</w:t>
      </w:r>
      <w:r>
        <w:rPr>
          <w:sz w:val="22"/>
        </w:rPr>
        <w:tab/>
      </w:r>
      <w:r>
        <w:rPr>
          <w:sz w:val="22"/>
        </w:rPr>
        <w:tab/>
        <w:t xml:space="preserve">     razítko AMS</w:t>
      </w:r>
      <w:r>
        <w:rPr>
          <w:sz w:val="22"/>
        </w:rPr>
        <w:tab/>
        <w:t xml:space="preserve">           ..........................................</w:t>
      </w:r>
    </w:p>
    <w:p w:rsidR="00F61590" w:rsidRDefault="00F61590" w:rsidP="00F61590">
      <w:pPr>
        <w:pStyle w:val="Textpoznpodarou"/>
        <w:tabs>
          <w:tab w:val="left" w:pos="5133"/>
        </w:tabs>
        <w:rPr>
          <w:sz w:val="22"/>
        </w:rPr>
      </w:pPr>
      <w:r>
        <w:rPr>
          <w:bCs/>
        </w:rPr>
        <w:tab/>
        <w:t xml:space="preserve">                  </w:t>
      </w:r>
      <w:r>
        <w:rPr>
          <w:sz w:val="22"/>
        </w:rPr>
        <w:t>vedoucí AMS (jméno, po</w:t>
      </w:r>
      <w:r>
        <w:rPr>
          <w:sz w:val="22"/>
        </w:rPr>
        <w:t>d</w:t>
      </w:r>
      <w:r>
        <w:rPr>
          <w:sz w:val="22"/>
        </w:rPr>
        <w:t xml:space="preserve">pis) </w:t>
      </w:r>
    </w:p>
    <w:p w:rsidR="00F61590" w:rsidRDefault="00F61590" w:rsidP="00F61590">
      <w:pPr>
        <w:pStyle w:val="Textpoznpodarou"/>
        <w:tabs>
          <w:tab w:val="left" w:pos="5133"/>
        </w:tabs>
        <w:rPr>
          <w:sz w:val="22"/>
        </w:rPr>
      </w:pPr>
    </w:p>
    <w:p w:rsidR="00F61590" w:rsidRDefault="00F61590" w:rsidP="00F61590">
      <w:pPr>
        <w:pStyle w:val="Textpoznpodarou"/>
        <w:tabs>
          <w:tab w:val="left" w:pos="5133"/>
        </w:tabs>
        <w:rPr>
          <w:sz w:val="22"/>
        </w:rPr>
      </w:pPr>
      <w:r>
        <w:rPr>
          <w:sz w:val="22"/>
        </w:rPr>
        <w:t>Za správnost vyhotovení:</w:t>
      </w:r>
    </w:p>
    <w:p w:rsidR="005A61A9" w:rsidRDefault="005A61A9"/>
    <w:sectPr w:rsidR="005A6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A9" w:rsidRDefault="00A07CA9" w:rsidP="00F61590">
      <w:r>
        <w:separator/>
      </w:r>
    </w:p>
  </w:endnote>
  <w:endnote w:type="continuationSeparator" w:id="0">
    <w:p w:rsidR="00A07CA9" w:rsidRDefault="00A07CA9" w:rsidP="00F6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A9" w:rsidRDefault="00A07CA9" w:rsidP="00F61590">
      <w:r>
        <w:separator/>
      </w:r>
    </w:p>
  </w:footnote>
  <w:footnote w:type="continuationSeparator" w:id="0">
    <w:p w:rsidR="00A07CA9" w:rsidRDefault="00A07CA9" w:rsidP="00F61590">
      <w:r>
        <w:continuationSeparator/>
      </w:r>
    </w:p>
  </w:footnote>
  <w:footnote w:id="1">
    <w:p w:rsidR="00F61590" w:rsidRPr="00E873CA" w:rsidRDefault="00F61590" w:rsidP="00F61590">
      <w:pPr>
        <w:pStyle w:val="Textpoznpodarou"/>
        <w:spacing w:before="120"/>
      </w:pPr>
      <w:r w:rsidRPr="00E873CA">
        <w:rPr>
          <w:vertAlign w:val="superscript"/>
        </w:rPr>
        <w:t>(</w:t>
      </w:r>
      <w:r>
        <w:rPr>
          <w:rStyle w:val="Znakapoznpodarou"/>
        </w:rPr>
        <w:t>1</w:t>
      </w:r>
      <w:r w:rsidRPr="00E873CA">
        <w:rPr>
          <w:vertAlign w:val="superscript"/>
        </w:rPr>
        <w:t>)</w:t>
      </w:r>
      <w:r>
        <w:t>   </w:t>
      </w:r>
      <w:r w:rsidRPr="00AB75B8">
        <w:t>N</w:t>
      </w:r>
      <w:r w:rsidRPr="00AB75B8">
        <w:rPr>
          <w:bCs/>
        </w:rPr>
        <w:t>epovinný údaj</w:t>
      </w:r>
      <w:r>
        <w:rPr>
          <w:bCs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90"/>
    <w:rsid w:val="005A61A9"/>
    <w:rsid w:val="00A07CA9"/>
    <w:rsid w:val="00C34C42"/>
    <w:rsid w:val="00F6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93E"/>
  <w15:chartTrackingRefBased/>
  <w15:docId w15:val="{CCA3F3F6-A1C8-4283-AD29-626E7EE5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59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61590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F6159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F61590"/>
    <w:pPr>
      <w:ind w:left="426"/>
    </w:pPr>
    <w:rPr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rsid w:val="00F6159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F61590"/>
    <w:pPr>
      <w:ind w:left="709"/>
      <w:jc w:val="both"/>
    </w:pPr>
    <w:rPr>
      <w:bCs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rsid w:val="00F61590"/>
    <w:rPr>
      <w:rFonts w:ascii="Times New Roman" w:eastAsia="Times New Roman" w:hAnsi="Times New Roman" w:cs="Times New Roman"/>
      <w:bCs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F61590"/>
  </w:style>
  <w:style w:type="character" w:customStyle="1" w:styleId="TextpoznpodarouChar">
    <w:name w:val="Text pozn. pod čarou Char"/>
    <w:basedOn w:val="Standardnpsmoodstavce"/>
    <w:link w:val="Textpoznpodarou"/>
    <w:semiHidden/>
    <w:rsid w:val="00F615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F61590"/>
    <w:rPr>
      <w:vertAlign w:val="superscript"/>
    </w:rPr>
  </w:style>
  <w:style w:type="paragraph" w:customStyle="1" w:styleId="MP-T">
    <w:name w:val="MP-T"/>
    <w:basedOn w:val="Zkladntext2"/>
    <w:rsid w:val="00F61590"/>
    <w:pPr>
      <w:spacing w:before="120" w:line="240" w:lineRule="auto"/>
      <w:jc w:val="both"/>
    </w:pPr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F61590"/>
    <w:pPr>
      <w:overflowPunct/>
      <w:autoSpaceDE/>
      <w:autoSpaceDN/>
      <w:adjustRightInd/>
      <w:ind w:left="540"/>
      <w:jc w:val="both"/>
      <w:textAlignment w:val="auto"/>
    </w:pPr>
    <w:rPr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6159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159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159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hsvobodova</dc:creator>
  <cp:keywords/>
  <dc:description/>
  <cp:lastModifiedBy>hsvobodova</cp:lastModifiedBy>
  <cp:revision>1</cp:revision>
  <dcterms:created xsi:type="dcterms:W3CDTF">2018-06-04T10:04:00Z</dcterms:created>
  <dcterms:modified xsi:type="dcterms:W3CDTF">2018-06-04T10:05:00Z</dcterms:modified>
</cp:coreProperties>
</file>